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3E37" w14:textId="77777777" w:rsidR="002E7B68" w:rsidRPr="002E7B68" w:rsidRDefault="002E7B68" w:rsidP="002E7B68">
      <w:pPr>
        <w:ind w:firstLineChars="300" w:firstLine="840"/>
        <w:rPr>
          <w:rFonts w:ascii="宋体" w:eastAsia="宋体" w:hAnsi="宋体" w:cs="宋体"/>
          <w:sz w:val="28"/>
          <w:szCs w:val="28"/>
        </w:rPr>
        <w:sectPr w:rsidR="002E7B68" w:rsidRPr="002E7B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ED87A3" w14:textId="77777777" w:rsidR="002E7B68" w:rsidRPr="002E7B68" w:rsidRDefault="002E7B68" w:rsidP="002E7B68">
      <w:pPr>
        <w:spacing w:line="380" w:lineRule="exact"/>
        <w:jc w:val="center"/>
        <w:rPr>
          <w:rFonts w:ascii="等线" w:eastAsia="等线" w:hAnsi="等线" w:cs="宋体"/>
          <w:b/>
          <w:bCs/>
          <w:sz w:val="32"/>
          <w:szCs w:val="32"/>
        </w:rPr>
      </w:pPr>
      <w:r w:rsidRPr="002E7B68">
        <w:rPr>
          <w:rFonts w:ascii="等线" w:eastAsia="宋体" w:hAnsi="等线" w:cs="宋体" w:hint="eastAsia"/>
          <w:b/>
          <w:bCs/>
          <w:sz w:val="32"/>
          <w:szCs w:val="32"/>
        </w:rPr>
        <w:t>附表</w:t>
      </w:r>
      <w:r w:rsidRPr="002E7B68">
        <w:rPr>
          <w:rFonts w:ascii="等线" w:eastAsia="宋体" w:hAnsi="等线" w:cs="宋体" w:hint="eastAsia"/>
          <w:b/>
          <w:bCs/>
          <w:sz w:val="32"/>
          <w:szCs w:val="32"/>
        </w:rPr>
        <w:t xml:space="preserve">1     </w:t>
      </w:r>
      <w:r w:rsidRPr="002E7B68">
        <w:rPr>
          <w:rFonts w:ascii="等线" w:eastAsia="等线" w:hAnsi="等线" w:cs="宋体" w:hint="eastAsia"/>
          <w:b/>
          <w:bCs/>
          <w:sz w:val="32"/>
          <w:szCs w:val="32"/>
        </w:rPr>
        <w:fldChar w:fldCharType="begin"/>
      </w:r>
      <w:r w:rsidRPr="002E7B68">
        <w:rPr>
          <w:rFonts w:ascii="等线" w:eastAsia="等线" w:hAnsi="等线" w:cs="宋体" w:hint="eastAsia"/>
          <w:b/>
          <w:bCs/>
          <w:sz w:val="32"/>
          <w:szCs w:val="32"/>
        </w:rPr>
        <w:instrText>ADDIN CNKISM.UserStyle</w:instrText>
      </w:r>
      <w:r w:rsidRPr="002E7B68">
        <w:rPr>
          <w:rFonts w:ascii="等线" w:eastAsia="等线" w:hAnsi="等线" w:cs="宋体" w:hint="eastAsia"/>
          <w:b/>
          <w:bCs/>
          <w:sz w:val="32"/>
          <w:szCs w:val="32"/>
        </w:rPr>
        <w:fldChar w:fldCharType="end"/>
      </w:r>
      <w:r w:rsidRPr="002E7B68">
        <w:rPr>
          <w:rFonts w:ascii="等线" w:eastAsia="等线" w:hAnsi="等线" w:cs="宋体" w:hint="eastAsia"/>
          <w:b/>
          <w:bCs/>
          <w:sz w:val="32"/>
          <w:szCs w:val="32"/>
        </w:rPr>
        <w:t>景德镇陶瓷大学</w:t>
      </w:r>
      <w:r w:rsidRPr="002E7B68">
        <w:rPr>
          <w:rFonts w:ascii="等线" w:eastAsia="宋体" w:hAnsi="等线" w:cs="宋体" w:hint="eastAsia"/>
          <w:b/>
          <w:bCs/>
          <w:sz w:val="32"/>
          <w:szCs w:val="32"/>
        </w:rPr>
        <w:t>大</w:t>
      </w:r>
      <w:r w:rsidRPr="002E7B68">
        <w:rPr>
          <w:rFonts w:ascii="等线" w:eastAsia="等线" w:hAnsi="等线" w:cs="宋体" w:hint="eastAsia"/>
          <w:b/>
          <w:bCs/>
          <w:sz w:val="32"/>
          <w:szCs w:val="32"/>
        </w:rPr>
        <w:t>学生课外学术科技竞赛分类等级一览表</w:t>
      </w: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19"/>
        <w:gridCol w:w="3006"/>
        <w:gridCol w:w="4055"/>
        <w:gridCol w:w="2160"/>
        <w:gridCol w:w="1440"/>
        <w:gridCol w:w="1260"/>
      </w:tblGrid>
      <w:tr w:rsidR="002E7B68" w:rsidRPr="002E7B68" w14:paraId="3180011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B79793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E2D283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56BFCD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赛事名称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AD0063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最高举办单位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98C6AA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AE3E18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350E57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</w:rPr>
              <w:t>建议等级</w:t>
            </w:r>
          </w:p>
        </w:tc>
      </w:tr>
      <w:tr w:rsidR="002E7B68" w:rsidRPr="002E7B68" w14:paraId="00CFBC97" w14:textId="77777777" w:rsidTr="00B912C5">
        <w:trPr>
          <w:trHeight w:val="863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6B78B2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A632EC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A06D55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中国“互联网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+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”大学生创新创业大赛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3347D1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教育部、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中央网信办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、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发改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委、工信部、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人社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部、共青团中央等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FB0DF6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2E7B68">
              <w:rPr>
                <w:rFonts w:ascii="宋体" w:eastAsia="宋体" w:hAnsi="宋体" w:cs="宋体" w:hint="eastAsia"/>
                <w:sz w:val="24"/>
              </w:rPr>
              <w:t>创业学院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F778E1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893FFF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72D27FBA" w14:textId="77777777" w:rsidTr="00B912C5">
        <w:trPr>
          <w:trHeight w:val="917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C82AB1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BEB9BE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8C9CC5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“挑战杯”全国大学生课外科技作品竞赛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0B0AED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共青团中央、教育部、中国科协、教育部、中国社会科学院、全国学联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52F953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D7D350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7682EA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3C7EA6DF" w14:textId="77777777" w:rsidTr="00B912C5">
        <w:trPr>
          <w:trHeight w:val="832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07AF24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7ADD42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2AFC84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“创青春”全国大学生创业计划竞赛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CA276B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共青团中央、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教育部、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人力资源社会保障部、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中国科协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、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全国学联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FB2775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C9A464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5864E8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58B11A5C" w14:textId="77777777" w:rsidTr="00B912C5">
        <w:trPr>
          <w:trHeight w:val="63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1D4842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0DF203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AE3B97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全国大学生艺术展演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D4F021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B1104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6E0C72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845614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09AE2CA5" w14:textId="77777777" w:rsidTr="00B912C5">
        <w:trPr>
          <w:trHeight w:val="72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D4D1F2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2B0EBF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8584F0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全国美术作品展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EDD58A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文化部、中国文学艺术界联合会、中国美术家协会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C9FAC1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49A57C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025800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4F68B1E9" w14:textId="77777777" w:rsidTr="00B912C5">
        <w:trPr>
          <w:trHeight w:val="67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9F3791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C78C48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017C41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全国大学生运动会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ACB3CF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教育部、国家体育总局、共青团中央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1EDAA1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体育与军事教学部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5A210C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56ADB3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76B9FB7A" w14:textId="77777777" w:rsidTr="00B912C5">
        <w:trPr>
          <w:trHeight w:val="9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E7E04D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38BC99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4C0EBC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中国大学生服务外包创新创业大赛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82260A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教育部、商务部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9E1B57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2FB59D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FB17A9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7B68" w:rsidRPr="002E7B68" w14:paraId="4A57D5B3" w14:textId="77777777" w:rsidTr="00B912C5">
        <w:trPr>
          <w:trHeight w:val="74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7F16FB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4582EE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60B2E5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全国大学生化学实验邀请赛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5FD160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教育部高等学校化学教育研究中心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9429EE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BD7AD2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C1AC72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016271E1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6AE1164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EDDE93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249C70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全国大学生结构设计大赛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365AA7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中国高等教育学会工程教育专业委员会、高等学校土木工程学科专业指导委员会、中国土木工程学会教育工作委员会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E497D4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4581C2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33C0A4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2E3E5F91" w14:textId="77777777" w:rsidTr="00B912C5">
        <w:trPr>
          <w:trHeight w:val="65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8B7676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F07C49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80EEF0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全国大学生广告艺术大赛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FF42B9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教育部高等教育司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53A2AF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38EDBA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A8EAAE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4E45D428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9E511B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3E69E9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15E9D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全国大学生智能汽车竞赛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5DDB19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教育部高等学校自动化专业教学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指导分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4F1D60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CAD8A6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8A3C83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41711DE3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7E8D00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980AF8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8DA768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全国大学生交通科技大赛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001100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教育部高等学校交通运输与工程学科教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学指导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委员会交通工程教学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指导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分委员会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3CFA16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F6E9D6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198E40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158872BD" w14:textId="77777777" w:rsidTr="00B912C5">
        <w:trPr>
          <w:trHeight w:val="73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B946788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7548C9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1A37CC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全国大学生电子商务“创新、创意及创业”挑战赛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7F720B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教育部高等学校电子商务类专业教学指导委员会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5EAF8D7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管理经济学院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FD3B47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7BF6B6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704A08F9" w14:textId="77777777" w:rsidTr="00B912C5">
        <w:trPr>
          <w:trHeight w:val="83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EA67D1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14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41A0A0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5FEFE7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全国大学生物流设计大赛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273F75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教育部高等学校物流类专业教学指导委员会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5E57B1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管理经济学院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FB0B03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865466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6F89C72E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3471D7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15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A420C0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2D3A84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全国大学生机械创新设计大赛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CEAA54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教育部高等学校机械学科教学指导委员会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0D42CB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6C4A66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13168A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50BED4AD" w14:textId="77777777" w:rsidTr="00B912C5">
        <w:trPr>
          <w:trHeight w:val="1176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3AB261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7E166A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D2ABDE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全国大学生节能减排社会实践与科技竞赛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BC4F09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教育部高等教育司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D4F5D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8BEEBE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F6C81D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1FD46AEA" w14:textId="77777777" w:rsidTr="00B912C5">
        <w:trPr>
          <w:trHeight w:val="89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3F1BF13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C3C07A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5FE840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大学生数学建模竞赛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01B219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教育部高等教育司、中国工业与应用数学学会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BE5323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2C3577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AFE7B7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219EE05B" w14:textId="77777777" w:rsidTr="00B912C5">
        <w:trPr>
          <w:trHeight w:val="918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3165A3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B8ED2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电子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136397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全国大学生电子设计竞赛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847E1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教育部高等教育司、工业和信息化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部认识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89CFF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A15023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30212F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2F52ED21" w14:textId="77777777" w:rsidTr="00B912C5">
        <w:trPr>
          <w:trHeight w:val="771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711CD3C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19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0FB704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90E585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全国大学生工程训练综合能力竞赛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65EC1B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教育部高等教育司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C3A5C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5F5BEA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F9F5A2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60020BB5" w14:textId="77777777" w:rsidTr="00B912C5">
        <w:trPr>
          <w:trHeight w:val="143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B5FC5BC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431805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A1612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全国大学生英语演讲比赛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BD84F9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外语教学与研究出版社、教育部高等学校大学外语教学指导委员会、教育部高等学校英语专业教学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指导分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47249A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F80071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D9D20D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5FA16DAB" w14:textId="77777777" w:rsidTr="00B912C5">
        <w:trPr>
          <w:trHeight w:val="718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98807A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29A76E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AD0183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ACM</w:t>
            </w: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国际大学生程序设计竞赛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C3ECF5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国际计算机协会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0A49AF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5D9BA3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CC9AA9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2B86ECF8" w14:textId="77777777" w:rsidTr="00B912C5">
        <w:trPr>
          <w:trHeight w:val="83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EF90FA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3DABEB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9D3DAD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中华全国日语演讲比赛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F7F017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中国教育国际交流协会、日本经济新闻社、日本华人教授会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668BF4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B7FAAD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BCABB7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A</w:t>
            </w: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2E7B68" w:rsidRPr="002E7B68" w14:paraId="4C3F1CAC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23DC20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64981E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D08479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全国大学生英语写作比赛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1B038B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外语教学与研究出版社、教育部高等学校大学外语教学指导委员会、教育部高等学校英语专业教学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指导分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07B8B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EB41B0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E7EA9A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4EE7F35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C3BC46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24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BE9AB8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E6668A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全国大学生英语阅读比赛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9C8DBB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外语教学与研究出版社、教育部高等学校大学外语教学指导委员会、教育部高等学校英语专业教学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指导分</w:t>
            </w:r>
            <w:proofErr w:type="gramEnd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9A256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3D75DC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834DB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7F144450" w14:textId="77777777" w:rsidTr="00B912C5">
        <w:trPr>
          <w:trHeight w:val="82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370260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25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070B6C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F22073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全国大学生“学宪法讲宪法”活动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77C28C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教育部办公厅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135BCB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、</w:t>
            </w:r>
          </w:p>
          <w:p w14:paraId="0596024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6E1A43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966FD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45A4053C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78DA07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F526C6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81627A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全国全民健身操舞大赛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4FB0E6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国家体育总局体操管理中心</w:t>
            </w:r>
            <w:r w:rsidRPr="002E7B68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、中国健美操协会、全国全民健身操</w:t>
            </w:r>
            <w:proofErr w:type="gramStart"/>
            <w:r w:rsidRPr="002E7B68">
              <w:rPr>
                <w:rFonts w:ascii="宋体" w:eastAsia="宋体" w:hAnsi="宋体" w:cs="宋体"/>
                <w:color w:val="000000"/>
                <w:sz w:val="24"/>
                <w:szCs w:val="24"/>
              </w:rPr>
              <w:t>舞推广</w:t>
            </w:r>
            <w:proofErr w:type="gramEnd"/>
            <w:r w:rsidRPr="002E7B68">
              <w:rPr>
                <w:rFonts w:ascii="宋体" w:eastAsia="宋体" w:hAnsi="宋体" w:cs="宋体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E6440C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体育与军事教学部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7154D4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742B84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B1</w:t>
            </w:r>
          </w:p>
        </w:tc>
      </w:tr>
      <w:tr w:rsidR="002E7B68" w:rsidRPr="002E7B68" w14:paraId="2F30C2A5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069A44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FD08E6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EF34E3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全国信息技术应用水平大赛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70BB30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教育部教育信息中心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6DFC58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1A95F1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9B13AF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2C1ED19E" w14:textId="77777777" w:rsidTr="00B912C5">
        <w:trPr>
          <w:trHeight w:val="77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CA7F966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317A68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D5B84C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中国工程机器人大赛暨国际公开赛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B02491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教育部高等学校创新方法教学指导委员会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1BB066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EF1210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38C658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67937281" w14:textId="77777777" w:rsidTr="00B912C5">
        <w:trPr>
          <w:trHeight w:val="52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55C6660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4D051C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6DD53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全国大学生数学竞赛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3EC334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中国数学会普及工作委员会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7781C3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5E003C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DFE15B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7030A0"/>
                <w:kern w:val="0"/>
                <w:sz w:val="24"/>
              </w:rPr>
              <w:t>B1</w:t>
            </w:r>
          </w:p>
        </w:tc>
      </w:tr>
      <w:tr w:rsidR="002E7B68" w:rsidRPr="002E7B68" w14:paraId="5FA3D78C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E9CB01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C1BDAB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3A2641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全国大学生英语竞赛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7E6967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高等学校大学外语教学指导委员会、高等学校大学外语教学研究会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426C0A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DB9785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F4AB23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27A393B3" w14:textId="77777777" w:rsidTr="00B912C5">
        <w:trPr>
          <w:trHeight w:val="1166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B91017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4F1B90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854EF8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中国人居环境设计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学年奖</w:t>
            </w:r>
            <w:proofErr w:type="gramEnd"/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D75024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教育部高等学校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设计学类专业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CE6271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476F64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2D2AF8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3C3C4EE9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965F778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7D38E5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kern w:val="36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A08479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“西门子杯”中国智能制造挑战赛（原全国大学生“西门子杯”工业自动化挑战赛）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AB0521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中国仿真协会、教育部高等学校自动化类专业教学指导委员会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94A001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6F253F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98CDE6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0609F83B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0AC1D6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5F0F3A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7C1060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全国大学生雪雕比赛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311B7C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中国艺术教育促进会、哈尔滨太阳岛国际雪雕艺术博览会组织委员会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9C50B3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74C0B5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B5C7BE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B1</w:t>
            </w:r>
          </w:p>
        </w:tc>
      </w:tr>
      <w:tr w:rsidR="002E7B68" w:rsidRPr="002E7B68" w14:paraId="1E186E47" w14:textId="77777777" w:rsidTr="00B912C5">
        <w:trPr>
          <w:trHeight w:val="65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784A276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659571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C6EFF7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全国生肖陶瓷大赛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94B90E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中国陶瓷工业协会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30401D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BC8111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54473B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B1</w:t>
            </w:r>
          </w:p>
        </w:tc>
      </w:tr>
      <w:tr w:rsidR="002E7B68" w:rsidRPr="002E7B68" w14:paraId="5B7BE362" w14:textId="77777777" w:rsidTr="00B912C5">
        <w:trPr>
          <w:trHeight w:val="92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A4B6D1D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AA5CAC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560F49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全国大学生网络商务创新应用大赛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393CC1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中国互联网协会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80AB2D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D7C3D2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241A5A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36552A9B" w14:textId="77777777" w:rsidTr="00B912C5">
        <w:trPr>
          <w:trHeight w:val="98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ACF14F9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5645D4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65BA8A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中国陶瓷艺术设计大展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5615D5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中国硅酸盐协会等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347A50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E93F5F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D508D9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264D28EF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C505818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1507E1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802FFD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全国大学生书画艺术大赛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61EBF9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中国国际书画家协会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4A9CD7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陶瓷美术学院、设计艺术学院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13C297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C10A9C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B1</w:t>
            </w:r>
          </w:p>
        </w:tc>
      </w:tr>
      <w:tr w:rsidR="002E7B68" w:rsidRPr="002E7B68" w14:paraId="1F8FBB55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928135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17AEB7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3A8F00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全国大学生电脑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作品赛</w:t>
            </w:r>
            <w:proofErr w:type="gramEnd"/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30E142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工信部人才交流中心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E28693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F5A759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C5D3A3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262629CE" w14:textId="77777777" w:rsidTr="00B912C5">
        <w:trPr>
          <w:trHeight w:val="81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81273E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39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6F4944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FE9F05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全国税法知识竞赛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CB707F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中国注册师协会、中国注册师同心服务团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4B8481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CB2AC9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D94F27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0FD936F9" w14:textId="77777777" w:rsidTr="00B912C5">
        <w:trPr>
          <w:trHeight w:val="853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11E7943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91EC66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CAD0BD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第四届澳门国际当代插画大赛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5AC356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中华文化产业促进会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A8AC69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8F1F5A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569331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B1</w:t>
            </w:r>
          </w:p>
        </w:tc>
      </w:tr>
      <w:tr w:rsidR="002E7B68" w:rsidRPr="002E7B68" w14:paraId="369D1D6C" w14:textId="77777777" w:rsidTr="00B912C5">
        <w:trPr>
          <w:trHeight w:val="9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B1EA47C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198DB1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01A34C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消防文艺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作品展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868C42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中国文化管理协会、江西省文化厅、江西省艺术界联合会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63A51D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陶瓷美术学院、设计艺术学院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662124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B64D71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547EEC4A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47E805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40D733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30A3C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江西省三维数字建模大赛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AC7ADE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江西省教育厅、江西省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工程图学学会</w:t>
            </w:r>
            <w:proofErr w:type="gramEnd"/>
          </w:p>
          <w:p w14:paraId="6967D2C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、江西省模具工业协会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F0D33C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887D77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E62EF3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48EB5358" w14:textId="77777777" w:rsidTr="00B912C5">
        <w:trPr>
          <w:trHeight w:val="80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43BA348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EF3D72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B92A0E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江西省高校信息安全知识及软件设计大赛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333A9A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共青团江西省委、江西省教育厅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000C03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7DBCA0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5E3A2D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2AC8F87F" w14:textId="77777777" w:rsidTr="00B912C5">
        <w:trPr>
          <w:trHeight w:val="90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6E9421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D9A48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2EF3F2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江西省电脑知识赛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F56467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江西省教育厅、江西省人力资源和社会保障厅、团省委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BDAC6E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30E880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F85603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699A697C" w14:textId="77777777" w:rsidTr="00B912C5">
        <w:trPr>
          <w:trHeight w:val="75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AF1E3C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CBCE3C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57AF4A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江西省大学生校园歌手大赛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909713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共青团江西省委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A48C85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53B3D8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CB512A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5E582C7D" w14:textId="77777777" w:rsidTr="00B912C5">
        <w:trPr>
          <w:trHeight w:val="92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3CDB6CD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5EAC0D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9F6022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江西省大学生舞蹈比赛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DBD758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江西省教育厅、江西省文学艺术界联合会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8526A2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CBE1C6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453650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54763DA4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7AF9AE9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6D6E53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D25341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江西省大学生英语口语竞赛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74C5BE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江西省教育厅、江西省高等职业教育外语教学协作组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76D947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1E4746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451E2C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3C852F91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727A9B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7A7F72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1C25DA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江西省大学生英语竞赛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890980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江西省教育厅、江西省高等职业教育外语教学协作组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E2436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E47F7A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9F5247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27C826C0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C7E9FF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49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0CAF1B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4A6C09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江西省大学生羽毛球赛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C35FC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江西省教育厅、江西省体育局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E2C40B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体育与军事教学部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2BAA2D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D051A2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3EA243E6" w14:textId="77777777" w:rsidTr="00B912C5">
        <w:trPr>
          <w:trHeight w:val="79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483678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50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0273602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B4F924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江西省大学生篮球比赛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6ABF72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江西省教育厅、江西省体育局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E34718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体育与军事教学部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CF4E96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AAB748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5A9A0635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21394C3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51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43EDE3E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AE0F5D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江西省重大主题美术创作工程作品展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343588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江西省委宣传部联合省文化厅、江西省文联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9A7E1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87CF6E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D1931D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6B3488AE" w14:textId="77777777" w:rsidTr="00B912C5">
        <w:trPr>
          <w:trHeight w:val="87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1ECF7D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52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AEC0196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B05D09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艺术江西国际博览会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91F85A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191919"/>
                <w:sz w:val="24"/>
                <w:shd w:val="clear" w:color="auto" w:fill="FFFFFF"/>
              </w:rPr>
              <w:t>江西省委宣传部、江西省教育厅等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956060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431BED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37218F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011D7089" w14:textId="77777777" w:rsidTr="00B912C5">
        <w:trPr>
          <w:trHeight w:val="102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96C69F4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53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F29A177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B24145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江西当代艺术展暨国际艺术交流展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22C493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  <w:shd w:val="clear" w:color="auto" w:fill="FFFFFF"/>
              </w:rPr>
              <w:t>江西省文化厅、南昌市委宣传部、江西省美术家协会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580151B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5A9B78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AF3415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3C74287C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172DC68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E7E7B2B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547E97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江西省青年美术作品展览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2D3CFE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江西省文学艺术界联合会、共青团江西省委、江西省美术家协会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2DB6C5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6D831E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EFE4A4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7628EE1A" w14:textId="77777777" w:rsidTr="00B912C5">
        <w:trPr>
          <w:trHeight w:val="98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F41FAB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13BCD8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E49148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江西省运动会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4A5606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江西省体育局、江西省体育委员会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76F1AD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体育与军事教学部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C658D6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EEDDC4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5A289C6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B4358E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1B565E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713820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江西省华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创杯市场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调研大赛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26EF22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江西省统计学会、共青团江西省委、国家统计局江西调查总队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54B81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CC6312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A5997F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6BA99EF5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305E16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3A61F0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7009F1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江西省大学生物流设计与模拟经营大赛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DE3151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江西省教育厅、江西省物流专业教学指导委员会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BACB28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B49AE1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4A8D2B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28C0FD32" w14:textId="77777777" w:rsidTr="00B912C5">
        <w:trPr>
          <w:trHeight w:val="85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544185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066747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58F795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江西省大学生物理创新大赛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C2EAC3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江西省教育厅、江西省物理协会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59279D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F5963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35B831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5F5952B7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EBE39F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2C2613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61771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江西省工业设计（双年）展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C7AD59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江西省交通运输厅、省文化厅、省美术家协会、华东交通大学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F5FB2D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55C4DB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11EA2D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02655D76" w14:textId="77777777" w:rsidTr="00B912C5">
        <w:trPr>
          <w:trHeight w:val="66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0C71D10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1B2957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B1D38A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第七届“汉腾杯”江西之星创意设计大赛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B13EB4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江西省文化厅、江西省信息工业化委员会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63630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7EBB3F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862D3D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B2</w:t>
            </w:r>
          </w:p>
        </w:tc>
      </w:tr>
      <w:tr w:rsidR="002E7B68" w:rsidRPr="002E7B68" w14:paraId="0A00FE0E" w14:textId="77777777" w:rsidTr="00B912C5">
        <w:trPr>
          <w:trHeight w:val="77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5BF2BA6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1FA202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3AF4B8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中华全国日语演讲比赛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(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华东赛区</w:t>
            </w: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6F1317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中国教育国际交流协会、日本经济新闻社、日本华人教授会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5E03022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476C2A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B1544E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B2</w:t>
            </w:r>
          </w:p>
        </w:tc>
      </w:tr>
      <w:tr w:rsidR="002E7B68" w:rsidRPr="002E7B68" w14:paraId="603BE10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31F1209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A03D0E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F718A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全国高校无机非金属材料基础知识竞赛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1E2E6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教育部高等学校无机非金属材料工程专业教学指导委员会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8C482A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5D60F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02FAE3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0ADE4C0B" w14:textId="77777777" w:rsidTr="00B912C5">
        <w:trPr>
          <w:trHeight w:val="88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435A4D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63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9017BE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58FB6F4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全国大中学生海洋知识竞赛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0E934F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国家海洋局、共青团中央、海军政治部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DA19B5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BD1D1A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B655E4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65DDDB03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D1806B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64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DC616E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368C0B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第十三届全国大学生沙盘模拟经营大赛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4B69DA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中国高等教育学会高等财经分会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CCBC43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033986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66A44C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2F62BB2C" w14:textId="77777777" w:rsidTr="00B912C5">
        <w:trPr>
          <w:trHeight w:val="76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B27F60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7155E2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9C8E2B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全国财会职业能力大赛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AAD7DD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中国商业会计学会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CC0626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B8C4BC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044183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732687A7" w14:textId="77777777" w:rsidTr="00B912C5">
        <w:trPr>
          <w:trHeight w:val="90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9B346B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DADFD5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6DC67B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大学生英语风采大赛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084B0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高等学校大学外语教学指导委员会、高等学校大学外语教学研究会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D862F3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FCDA33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EFAB60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55EDA122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82F12C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0EFE835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EAC0E85" w14:textId="77777777" w:rsidR="002E7B68" w:rsidRPr="002E7B68" w:rsidRDefault="002E7B68" w:rsidP="002E7B68">
            <w:pPr>
              <w:rPr>
                <w:rFonts w:ascii="宋体" w:eastAsia="等线" w:hAnsi="宋体" w:cs="宋体"/>
                <w:kern w:val="0"/>
                <w:sz w:val="24"/>
              </w:rPr>
            </w:pPr>
            <w:proofErr w:type="gramStart"/>
            <w:r w:rsidRPr="002E7B68">
              <w:rPr>
                <w:rFonts w:ascii="宋体" w:eastAsia="等线" w:hAnsi="宋体" w:cs="宋体" w:hint="eastAsia"/>
                <w:sz w:val="24"/>
              </w:rPr>
              <w:t>全球语通百万</w:t>
            </w:r>
            <w:proofErr w:type="gramEnd"/>
            <w:r w:rsidRPr="002E7B68">
              <w:rPr>
                <w:rFonts w:ascii="宋体" w:eastAsia="等线" w:hAnsi="宋体" w:cs="宋体" w:hint="eastAsia"/>
                <w:sz w:val="24"/>
              </w:rPr>
              <w:t>大学生外语听说大赛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9B5F948" w14:textId="77777777" w:rsidR="002E7B68" w:rsidRPr="002E7B68" w:rsidRDefault="002E7B68" w:rsidP="002E7B68">
            <w:pPr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中国翻译协会语言服务能力培训与评估中心、北京全球语通教育科技有限公司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5290776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外语学院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2101E92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F71A5AC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571FB604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84B738A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219C34F9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日语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0A90502" w14:textId="77777777" w:rsidR="002E7B68" w:rsidRPr="002E7B68" w:rsidRDefault="002E7B68" w:rsidP="002E7B68">
            <w:pPr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江西省“心连心”杯日语演讲比赛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F31DB51" w14:textId="77777777" w:rsidR="002E7B68" w:rsidRPr="002E7B68" w:rsidRDefault="002E7B68" w:rsidP="002E7B68">
            <w:pPr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中华全国日语演讲比赛是由中国教育国际交流协会、日本经济新闻社、日本华人教授会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6B7981A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外语学院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C53158F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A6EC8F3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C</w:t>
            </w:r>
          </w:p>
        </w:tc>
      </w:tr>
      <w:tr w:rsidR="002E7B68" w:rsidRPr="002E7B68" w14:paraId="732BBC2A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696A9F1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color w:val="FF000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D027160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日语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1C415DD" w14:textId="77777777" w:rsidR="002E7B68" w:rsidRPr="002E7B68" w:rsidRDefault="002E7B68" w:rsidP="002E7B68">
            <w:pPr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全中国日语作文大赛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4A879CA5" w14:textId="77777777" w:rsidR="002E7B68" w:rsidRPr="002E7B68" w:rsidRDefault="002E7B68" w:rsidP="002E7B68">
            <w:pPr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  <w:shd w:val="clear" w:color="auto" w:fill="FFFFFF"/>
              </w:rPr>
              <w:t>日本侨报社、日中交流研究所、日本驻华大使馆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F914C38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外语学院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425D7DD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AD6F2C2" w14:textId="77777777" w:rsidR="002E7B68" w:rsidRPr="002E7B68" w:rsidRDefault="002E7B68" w:rsidP="002E7B68">
            <w:pPr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376FA0FC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FDE803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5EA43B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7343C5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全国口译大赛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9FC8BC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中国翻译协会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88C5DB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BF4F7D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FD41D2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5AA2AD6B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07FBD63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F9150A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4CF569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全国大学生创业综合模拟大赛（江西省赛区）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13A468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教育部高等学校国家级实验教学示范中心联席会经管学科组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3B0C18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EFCFDB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A9ED6C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716C4A68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DE3B7E4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4126D6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管理经济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1FB345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大学生财务决策大赛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D141BD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中国高等教育学会高等财经教育分会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77BE07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管理与经济学院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65F104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7FFF52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0FB76B3A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26F59F0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4DA243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1FACAF5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java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程序大赛华中赛区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ECEA5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全国高等学校计算机教育研究会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8C2ECE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905FA8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56A07B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3D7F5DBC" w14:textId="77777777" w:rsidTr="00B912C5">
        <w:trPr>
          <w:trHeight w:val="302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A993ED4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40C0BA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D28E2A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中国国际家用纺织品创意设计大赛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48D3090" w14:textId="77777777" w:rsidR="002E7B68" w:rsidRPr="002E7B68" w:rsidRDefault="002E7B68" w:rsidP="002E7B68">
            <w:pPr>
              <w:widowControl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中国家用纺织品行业协会、中国国际贸易促进委员会纺织行业分会、法兰克福展览（香港）有限公司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78CC7C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ED7D68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94D173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67C6AA1F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A3BD23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3FC1E1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A1AFBDF" w14:textId="77777777" w:rsidR="002E7B68" w:rsidRPr="002E7B68" w:rsidRDefault="002E7B68" w:rsidP="002E7B68">
            <w:pPr>
              <w:widowControl/>
              <w:jc w:val="center"/>
              <w:outlineLvl w:val="0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“为中国而设计”全国环境艺术设计大展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83D779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中国美术家协会、环境设计艺术委员会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921FD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803239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B7878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43D3B8E8" w14:textId="77777777" w:rsidTr="00B912C5">
        <w:trPr>
          <w:trHeight w:val="108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B795F26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A44004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DCABA7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新人杯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全国大学生室内设计竞赛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55F726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中国建筑学会室内设计分会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9B545F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A49FF6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3D8EB9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3B3BF51A" w14:textId="77777777" w:rsidTr="00B912C5">
        <w:trPr>
          <w:trHeight w:val="89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C697213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44A1BE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A1DD81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艾景奖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国际园林景观规划设计大赛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5F8D74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>艾景奖</w:t>
            </w:r>
            <w:proofErr w:type="gramEnd"/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>组委会</w:t>
            </w:r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 xml:space="preserve"> </w:t>
            </w:r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>中国民族建筑研究会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666C91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03CF6C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DD338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21143F4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0636BCD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CF7482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597643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>“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中装杯</w:t>
            </w:r>
            <w:r w:rsidRPr="002E7B68">
              <w:rPr>
                <w:rFonts w:ascii="宋体" w:eastAsia="等线" w:hAnsi="宋体" w:cs="宋体"/>
                <w:color w:val="000000"/>
                <w:kern w:val="0"/>
                <w:sz w:val="24"/>
              </w:rPr>
              <w:t>”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全国大学生空间与环境艺术设计大赛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0BEC9BC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中国建筑装饰协会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F20D63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79C5F8C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AE5E87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686FFC0D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0CD428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D7E929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BCB226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全国数字艺术设计大赛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AF4421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中国电子视像行业协会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798DA8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4E053DC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A1F93A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1DC37EC5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B257A2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7CB240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732B4F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江西省高校摄影艺术作品展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F54D14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江西省教育厅、江西省摄影家协会、江西省高等学校摄影学会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53EC719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0CDC86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18DF38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6431A558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6FE31C69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76C5E7F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216110C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江西省摄影艺术展览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3CE5E1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江西省文联、江西省摄影家协会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EFD6FF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BBDA3D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5421BC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0983882B" w14:textId="77777777" w:rsidTr="00B912C5">
        <w:trPr>
          <w:trHeight w:val="714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FA1164E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1E1996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6C71A4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江西省服装设计</w:t>
            </w:r>
            <w:proofErr w:type="gramStart"/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技能赛</w:t>
            </w:r>
            <w:proofErr w:type="gramEnd"/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F47D41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江西省教育厅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219F1B1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FE0154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29E2F2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7D68AAEB" w14:textId="77777777" w:rsidTr="00B912C5">
        <w:trPr>
          <w:trHeight w:val="78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60B986B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83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55E2ED38" w14:textId="77777777" w:rsidR="002E7B68" w:rsidRPr="002E7B68" w:rsidRDefault="002E7B68" w:rsidP="002E7B68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7DB35C5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江西省油画展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64E95ED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江西省美术家协会、西省美术家协会油画艺术委员会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67E8995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14FE876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195DDB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C</w:t>
            </w:r>
          </w:p>
        </w:tc>
      </w:tr>
      <w:tr w:rsidR="002E7B68" w:rsidRPr="002E7B68" w14:paraId="227DC023" w14:textId="77777777" w:rsidTr="00B912C5">
        <w:trPr>
          <w:trHeight w:val="862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337204F7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84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38353A7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bCs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各相关学科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D11C78A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江西省大学生科技创新与职业技能竞赛系列赛事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5E20FC2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3277651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各学院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96D671D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5199BE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0D4BA867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4D40B76F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85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6CA0A6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FFE96B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江西省大学生计算机作品大赛暨“互联网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+</w:t>
            </w: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”创新创业大赛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4E7ECB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江西省计算机协会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0072638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3F6133E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F10A9B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6A8F709E" w14:textId="77777777" w:rsidTr="00B912C5">
        <w:trPr>
          <w:trHeight w:val="762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2A881F8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sz w:val="24"/>
              </w:rPr>
              <w:t>86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32D788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2756C4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江西省大学生摄影比赛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2DC85B4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江西省摄影家协会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A619690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CDA1D3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6A0314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7030A0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1186A8F4" w14:textId="77777777" w:rsidTr="00B912C5">
        <w:trPr>
          <w:trHeight w:val="798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1BE058F5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08C176A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00F1179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江西省大学生歌舞电视大赛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C21F30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江西省教育厅、江西省舞蹈家协会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7D75868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陶瓷美术学院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0B78BD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集体、个人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C7C8EF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59A6F62E" w14:textId="77777777" w:rsidTr="00B912C5">
        <w:trPr>
          <w:trHeight w:val="729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60C43B9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F8EFB0E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3B4222D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江西省数字艺术双年展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733ED13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江西省文联、省美协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BED1FA5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2E3CFB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8A5547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1341CF33" w14:textId="77777777" w:rsidTr="00B912C5">
        <w:trPr>
          <w:trHeight w:val="545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753F3A72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5B20B4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6A681B07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大学生英语翻译大赛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36E1D321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江西省翻译协会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106D6EEF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5145876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368B702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2E7B68" w:rsidRPr="002E7B68" w14:paraId="1A0B637F" w14:textId="77777777" w:rsidTr="00B912C5"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14:paraId="5EB69A96" w14:textId="77777777" w:rsidR="002E7B68" w:rsidRPr="002E7B68" w:rsidRDefault="002E7B68" w:rsidP="002E7B6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7B6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E555C23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vAlign w:val="center"/>
          </w:tcPr>
          <w:p w14:paraId="4BBC76EB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井冈之</w:t>
            </w:r>
            <w:proofErr w:type="gramStart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星设计</w:t>
            </w:r>
            <w:proofErr w:type="gramEnd"/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艺术创意大赛</w:t>
            </w:r>
          </w:p>
        </w:tc>
        <w:tc>
          <w:tcPr>
            <w:tcW w:w="4055" w:type="dxa"/>
            <w:tcBorders>
              <w:tl2br w:val="nil"/>
              <w:tr2bl w:val="nil"/>
            </w:tcBorders>
            <w:vAlign w:val="center"/>
          </w:tcPr>
          <w:p w14:paraId="182AE4CC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江西省美术家协会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14:paraId="40982E44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设计艺术学院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933BD79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0F88B78" w14:textId="77777777" w:rsidR="002E7B68" w:rsidRPr="002E7B68" w:rsidRDefault="002E7B68" w:rsidP="002E7B68">
            <w:pPr>
              <w:widowControl/>
              <w:jc w:val="center"/>
              <w:textAlignment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2E7B68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</w:tbl>
    <w:p w14:paraId="41F4BE00" w14:textId="77777777" w:rsidR="002E7B68" w:rsidRPr="002E7B68" w:rsidRDefault="002E7B68" w:rsidP="002E7B68">
      <w:pPr>
        <w:rPr>
          <w:rFonts w:ascii="等线" w:eastAsia="等线" w:hAnsi="等线" w:cs="宋体"/>
          <w:sz w:val="24"/>
        </w:rPr>
      </w:pPr>
    </w:p>
    <w:p w14:paraId="34BE9E91" w14:textId="2BDF2CD0" w:rsidR="00643395" w:rsidRPr="004725BC" w:rsidRDefault="002E7B68">
      <w:pPr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 w:rsidRPr="002E7B6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表中未列明赛事，参照赛事分类原则和表中赛事类别层次认定；或由参赛者根据赛事相关文件、获奖证书等向大学生课外学术科技活动指导委员会办公室提出申请，经大学生课外学术科技活动指导委员会研究确定赛事类别层次。</w:t>
      </w:r>
      <w:bookmarkStart w:id="0" w:name="_GoBack"/>
      <w:bookmarkEnd w:id="0"/>
    </w:p>
    <w:sectPr w:rsidR="00643395" w:rsidRPr="0047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EB34" w14:textId="77777777" w:rsidR="00E43382" w:rsidRDefault="00E43382" w:rsidP="002E7B68">
      <w:r>
        <w:separator/>
      </w:r>
    </w:p>
  </w:endnote>
  <w:endnote w:type="continuationSeparator" w:id="0">
    <w:p w14:paraId="6B9999A7" w14:textId="77777777" w:rsidR="00E43382" w:rsidRDefault="00E43382" w:rsidP="002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8538" w14:textId="77777777" w:rsidR="00E43382" w:rsidRDefault="00E43382" w:rsidP="002E7B68">
      <w:r>
        <w:separator/>
      </w:r>
    </w:p>
  </w:footnote>
  <w:footnote w:type="continuationSeparator" w:id="0">
    <w:p w14:paraId="394C311D" w14:textId="77777777" w:rsidR="00E43382" w:rsidRDefault="00E43382" w:rsidP="002E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5A"/>
    <w:rsid w:val="002E7B68"/>
    <w:rsid w:val="003C5BD0"/>
    <w:rsid w:val="004725BC"/>
    <w:rsid w:val="00495693"/>
    <w:rsid w:val="00D51C5A"/>
    <w:rsid w:val="00DF3740"/>
    <w:rsid w:val="00E43382"/>
    <w:rsid w:val="00EF7260"/>
    <w:rsid w:val="00F2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D05C"/>
  <w15:chartTrackingRefBased/>
  <w15:docId w15:val="{93A9DCD1-AF98-4F3E-A6DB-F20FAC3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 刘</dc:creator>
  <cp:keywords/>
  <dc:description/>
  <cp:lastModifiedBy>清 刘</cp:lastModifiedBy>
  <cp:revision>5</cp:revision>
  <dcterms:created xsi:type="dcterms:W3CDTF">2018-07-20T12:59:00Z</dcterms:created>
  <dcterms:modified xsi:type="dcterms:W3CDTF">2018-07-20T13:10:00Z</dcterms:modified>
</cp:coreProperties>
</file>